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2" w:rsidRPr="0043557A" w:rsidRDefault="00EA2E61" w:rsidP="00EA2E61">
      <w:pPr>
        <w:jc w:val="center"/>
        <w:rPr>
          <w:rFonts w:ascii="Georgia" w:hAnsi="Georgia"/>
          <w:color w:val="7F7F7F" w:themeColor="text1" w:themeTint="80"/>
          <w:sz w:val="28"/>
          <w:szCs w:val="28"/>
        </w:rPr>
      </w:pPr>
      <w:r w:rsidRPr="0043557A">
        <w:rPr>
          <w:rFonts w:ascii="Georgia" w:hAnsi="Georgia"/>
          <w:color w:val="7F7F7F" w:themeColor="text1" w:themeTint="80"/>
          <w:sz w:val="28"/>
          <w:szCs w:val="28"/>
        </w:rPr>
        <w:t>2019/04</w:t>
      </w:r>
    </w:p>
    <w:p w:rsidR="00EA2E61" w:rsidRPr="0043557A" w:rsidRDefault="00EA2E61" w:rsidP="00EA2E61">
      <w:pPr>
        <w:jc w:val="center"/>
        <w:rPr>
          <w:rFonts w:ascii="Georgia" w:hAnsi="Georgia"/>
          <w:color w:val="7F7F7F" w:themeColor="text1" w:themeTint="80"/>
          <w:sz w:val="28"/>
          <w:szCs w:val="28"/>
        </w:rPr>
      </w:pPr>
      <w:r w:rsidRPr="0043557A">
        <w:rPr>
          <w:rFonts w:ascii="Georgia" w:hAnsi="Georgia"/>
          <w:color w:val="7F7F7F" w:themeColor="text1" w:themeTint="80"/>
          <w:sz w:val="28"/>
          <w:szCs w:val="28"/>
        </w:rPr>
        <w:t>HÍRLEVÉL</w:t>
      </w:r>
    </w:p>
    <w:p w:rsidR="00EA2E61" w:rsidRPr="00DB590B" w:rsidRDefault="00EA2E61" w:rsidP="00EA2E61">
      <w:pPr>
        <w:rPr>
          <w:rFonts w:ascii="Georgia" w:hAnsi="Georgia"/>
          <w:color w:val="7F7F7F" w:themeColor="text1" w:themeTint="80"/>
          <w:sz w:val="24"/>
          <w:szCs w:val="24"/>
        </w:rPr>
      </w:pPr>
      <w:r w:rsidRPr="00DB590B">
        <w:rPr>
          <w:rFonts w:ascii="Georgia" w:hAnsi="Georgia"/>
          <w:color w:val="7F7F7F" w:themeColor="text1" w:themeTint="80"/>
          <w:sz w:val="24"/>
          <w:szCs w:val="24"/>
        </w:rPr>
        <w:t>HÍREK</w:t>
      </w:r>
    </w:p>
    <w:p w:rsidR="00893A4F" w:rsidRPr="00893A4F" w:rsidRDefault="00893A4F" w:rsidP="00893A4F">
      <w:pPr>
        <w:pStyle w:val="Cmsor1"/>
        <w:rPr>
          <w:rFonts w:ascii="Georgia" w:hAnsi="Georgia"/>
          <w:color w:val="595959" w:themeColor="text1" w:themeTint="A6"/>
          <w:sz w:val="24"/>
          <w:szCs w:val="24"/>
        </w:rPr>
      </w:pPr>
      <w:r w:rsidRPr="00893A4F">
        <w:rPr>
          <w:rFonts w:ascii="Georgia" w:hAnsi="Georgia"/>
          <w:color w:val="595959" w:themeColor="text1" w:themeTint="A6"/>
          <w:sz w:val="24"/>
          <w:szCs w:val="24"/>
        </w:rPr>
        <w:t>2019. november 29-től már elérhető a 2020-as kiva-kalkulátor</w:t>
      </w:r>
    </w:p>
    <w:p w:rsidR="00893A4F" w:rsidRPr="00893A4F" w:rsidRDefault="00893A4F" w:rsidP="00893A4F">
      <w:pPr>
        <w:pStyle w:val="lead"/>
        <w:jc w:val="both"/>
        <w:rPr>
          <w:rFonts w:ascii="Georgia" w:hAnsi="Georgia"/>
          <w:color w:val="595959" w:themeColor="text1" w:themeTint="A6"/>
        </w:rPr>
      </w:pPr>
      <w:r w:rsidRPr="00893A4F">
        <w:rPr>
          <w:rFonts w:ascii="Georgia" w:hAnsi="Georgia"/>
          <w:color w:val="595959" w:themeColor="text1" w:themeTint="A6"/>
        </w:rPr>
        <w:t xml:space="preserve">A legnagyobb megtakarítást biztosító adózási forma kiválasztásában most is segít cégeknek a Pénzügyminisztérium kiva-kalkulátora. Minden cégnek megéri a próbaszámításokat elvégezni, hiszen a kisvállalati adó (kiva) választásával az áttérésre jogosult, foglalkoztatottal rendelkező cégeknek több mint a 80 százaléka jobban jár. Ráadásul jövőre még kedvezőbb lesz a kiva, hiszen egy százalékponttal – </w:t>
      </w:r>
      <w:r>
        <w:rPr>
          <w:rFonts w:ascii="Georgia" w:hAnsi="Georgia"/>
          <w:color w:val="595959" w:themeColor="text1" w:themeTint="A6"/>
        </w:rPr>
        <w:br/>
      </w:r>
      <w:r w:rsidRPr="00893A4F">
        <w:rPr>
          <w:rFonts w:ascii="Georgia" w:hAnsi="Georgia"/>
          <w:color w:val="595959" w:themeColor="text1" w:themeTint="A6"/>
        </w:rPr>
        <w:t xml:space="preserve">13 százalékról 12 százalékra – csökken a mértéke. </w:t>
      </w:r>
    </w:p>
    <w:p w:rsidR="00893A4F" w:rsidRPr="00893A4F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893A4F">
        <w:rPr>
          <w:rFonts w:ascii="Georgia" w:hAnsi="Georgia"/>
          <w:color w:val="595959" w:themeColor="text1" w:themeTint="A6"/>
        </w:rPr>
        <w:t>A kormány több speciális adózási formát kínál a vállalkozásoknak. A megfelelő adózási mód kiválasztásával rengeteg pénz spórolható meg törvényi keretek között. A legoptimálisabb forma kiválasztásban segít most a kiva-kalkulátor.</w:t>
      </w:r>
    </w:p>
    <w:p w:rsidR="00893A4F" w:rsidRPr="00893A4F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893A4F">
        <w:rPr>
          <w:rFonts w:ascii="Georgia" w:hAnsi="Georgia"/>
          <w:color w:val="595959" w:themeColor="text1" w:themeTint="A6"/>
        </w:rPr>
        <w:t>Annak a cégnek, amelynek a bértömege nagyobb a nyereségénél, vagy amelyik növekedésre fordítja vissza a nyereségét, mindenképp érdemes tíz percet szánni a kiva-kalkulátorra.</w:t>
      </w:r>
    </w:p>
    <w:p w:rsidR="00893A4F" w:rsidRPr="00893A4F" w:rsidRDefault="00893A4F" w:rsidP="00893A4F">
      <w:pPr>
        <w:pStyle w:val="NormlWeb"/>
        <w:rPr>
          <w:rFonts w:ascii="Georgia" w:hAnsi="Georgia"/>
          <w:color w:val="595959" w:themeColor="text1" w:themeTint="A6"/>
          <w:sz w:val="20"/>
          <w:szCs w:val="20"/>
        </w:rPr>
      </w:pPr>
      <w:r w:rsidRPr="00893A4F">
        <w:rPr>
          <w:rFonts w:ascii="Georgia" w:hAnsi="Georgia"/>
          <w:i/>
          <w:iCs/>
          <w:color w:val="595959" w:themeColor="text1" w:themeTint="A6"/>
          <w:sz w:val="20"/>
          <w:szCs w:val="20"/>
        </w:rPr>
        <w:t>Forrás: (Pénzügyminisztérium)</w:t>
      </w:r>
    </w:p>
    <w:p w:rsidR="00EC3BA6" w:rsidRPr="00DB590B" w:rsidRDefault="002E25E0" w:rsidP="00EA2E61">
      <w:pPr>
        <w:rPr>
          <w:rFonts w:ascii="Georgia" w:hAnsi="Georgia"/>
          <w:sz w:val="24"/>
          <w:szCs w:val="24"/>
        </w:rPr>
      </w:pPr>
      <w:r w:rsidRPr="002E25E0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893A4F" w:rsidRPr="003F292D" w:rsidRDefault="00893A4F" w:rsidP="003F292D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595959" w:themeColor="text1" w:themeTint="A6"/>
          <w:kern w:val="3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/>
          <w:bCs/>
          <w:color w:val="595959" w:themeColor="text1" w:themeTint="A6"/>
          <w:kern w:val="36"/>
          <w:sz w:val="24"/>
          <w:szCs w:val="24"/>
          <w:lang w:eastAsia="hu-HU"/>
        </w:rPr>
        <w:t xml:space="preserve">A 2020-21-es tanévtől megváltozik a szakképzési rendszer 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diákok technikum és a szakképző iskola közül választhatnak.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Alapjaiban változik meg a hazai szakképzési rendszer a 2020-21-es tanévtől; rugalmasabb, a piaci igényekhez illeszkedő, a lemorzsolódást hatékonyabban megakadályozó intézményi szerkezet jön létre - mondta Schanda Tamás, az Innovációs és Technológiai Minisztérium (ITM) államtitkára a Budapesten sajtótájékoztatón.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Az általános iskolát elvégzők a technikum és a szakképző iskola közül választhatnak.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A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technikumban ötéves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osztatlan képzés keretében szerezhetnek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érettségit és technikusi oklevelet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,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szakképző iskolában pedig hároméves képzéssel sajátíthatnak el egy szakmát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- ismertette az államtitkár az Országgyűlés által kedden elfogadott szakképzési törvény részleteiről szólva.</w:t>
      </w:r>
      <w:r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Kiemelte, hogy a szerkezeti átalakításokat a bérek és az ösztöndíjak jelentős emelése kíséri.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 szakképzésben oktatók bérét átlagosan 30 százalékkal emelik. Schanda Tamás úgy fogalmazott: megteremtik a teljesítményalapú, versenyképes, motiváló bérezési rendszert csaknem 32 ezer ember számára.</w:t>
      </w:r>
      <w:r w:rsidR="00BE38CC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 tanulói ösztöndíjak átalakításával két év alatt több mint háromszorosára bővítik a szakképzésben részt vevő ösztöndíjasok számát - tette hozzá.</w:t>
      </w:r>
      <w:r w:rsidR="00BE38CC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Az államtitkár kifejtette, a magyar gazdasági eredmények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lastRenderedPageBreak/>
        <w:t>fenntartásához szükség van jól képzett szakemberekre, ehhez pedig elengedhetetlen a szakképzés megújítása.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Az oktatói béremelésekről elmondta: az átlagosan 30 százalékos emelésből a közismereti és a szakmai tárgyakat oktatók egyaránt részesülhetnek, pontos mértékéről az egyéni teljesítmény alapján születik majd döntés. Emelkednek az óraadók óradíjai is.</w:t>
      </w:r>
      <w:r w:rsidR="00BE38CC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Az államtitkár példaként említette, hogy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egy pedagógus II. besorolású, egyetemi diplomával és 10 év szakmai tapasztalattal rendelkező szakmai tanár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bruttó 300 ezer forint helyett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legalább bruttó 350 ezer forintot fog kapni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, de az összeg a 400 ezer forintot is elérheti. A pályakezdő oktatók bére pedig akár másfélszeresére is nőhet.</w:t>
      </w:r>
      <w:r w:rsidR="00BE38CC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Schanda Tamás hangsúlyozta: akik most átlépnek a pedagógusi közalkalmazotti jogviszonyból a szakképző intézmények oktatóira vonatkozó új szabályozás alá, azoknak ugyanúgy jár majd a jubileumi jutalom. Az oktatók a pedagógus igazolványra is jogosultak lesznek, és a Nemzeti Pedagógus Karnak is tagjai lesznek a jövőben - jelezte.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Az államtitkár szerint a fiatalokat, illetve a szüleiket is szeretnék minél inkább arra ösztönözni, hogy a biztos megélhetést nyújtó, a továbbtanuláshoz ugyanúgy megfelelő alapot jelentő szakképzést válasszák. Ezért a tanulói ösztöndíjak rendszerében is nagy változások lesznek.</w:t>
      </w:r>
      <w:r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 szakképzésben részt vevők a tanulmányi eredményüktől függően kapnak ösztöndíjat.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A nappali rendszerű oktatásban tanulók általános ösztöndíjra lesznek jogosultak, ha önhibájukon kívül, illetve az adott terület sajátosságai miatt nem vesznek részt a duális képzésben.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szakképző iskolák 9. évfolyamán ez havi 14 ezer forint minden tanuló számára, a 10. és a 11. évfolyamra járók pedig 10 és 50 ezer forint közötti havi ösztöndíjat kaphatnak.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 xml:space="preserve">A technikumok 9. és 10. évfolyamán minden tanuló havi 7 ezer forintot kap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majd, a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11. évfolyamtól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pedig szintén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 xml:space="preserve">havi 10 és 50 ezer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forint közötti juttatásra lesznek jogosultak - ismertette az államtitkár.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Évente kétezer hátrányos helyzetű, jó tanulmányi eredménnyel rendelkező diák me</w:t>
      </w:r>
      <w:r w:rsidR="00CB735E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gkaphatja a havi 30 ezer </w:t>
      </w:r>
      <w:proofErr w:type="gramStart"/>
      <w:r w:rsidR="00CB735E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forint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támogatást</w:t>
      </w:r>
      <w:proofErr w:type="gramEnd"/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jelentő Apáczai ösztöndíjat is - tette hozzá.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Kiemelte: új elem a törvényben az egyszeri pályakezdési juttatás, amelyre akkor jogosult a tanuló, ha sikeresen befejezi a képzést és szakmát szerez. Ennek mértéke 150 ezer és 300 ezer forint között lesz.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Ezekkel az újításokkal a szakképzésben tanuló ösztöndíjasok száma az idei 33 500-ról 2021-re 110 500-ra nő - hangsúlyozta Schanda Tamás.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Bódis József, az ITM államtitkára a részletekről szólva elmondta: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szakgimnáziumokat felváltó ötéves technikumokban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a közismereti és ágazati alapismereteket adó első két év után a közismereti tárgyak mellett szakirányú oktatás folyik majd. A 11. évfolyamtól megjelenő, vállalat által végzett szakirányú oktatás esetén a szakképzési munkaszerződés megkötésével már ekkor munkajövedelemhez juthatnak a tanulók.</w:t>
      </w:r>
      <w:r w:rsidR="00BE38CC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technikumi oktatás zárásaként négy közismereti tantárgyból kell érettségi vizsgát tenni, az ötödik a szakmai vizsga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, amely emelt szintű érettséginek felel meg. A technikumok minden szempontból versenyképes képzést 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lastRenderedPageBreak/>
        <w:t>nyújtanak, és megadják a lehetőséget, hogy a tanulók a felsőoktatásba menjenek tovább - hangsúlyozta az államtitkár.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bCs/>
          <w:color w:val="595959" w:themeColor="text1" w:themeTint="A6"/>
          <w:sz w:val="24"/>
          <w:szCs w:val="24"/>
          <w:lang w:eastAsia="hu-HU"/>
        </w:rPr>
        <w:t>A hároméves szakképző iskolákban az első év nyújt ágazati alapismereteket, majd a következő két év a szakirányú képzés.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A végzés után nyitott a lehetőség arra, hogy a tanulók továbblépjenek, és érettségit vagy technikusi végzettséget szerezzenek.</w:t>
      </w:r>
    </w:p>
    <w:p w:rsidR="00893A4F" w:rsidRP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Bódis József hozzátette, az érettségivel már rendelkezőknek továbbra is lesz lehetőségük arra, hogy két év alatt technikusi végzettséget szerezzenek.</w:t>
      </w:r>
    </w:p>
    <w:p w:rsidR="00893A4F" w:rsidRDefault="00893A4F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A lemorzsolódás megakadályozása érdekében az új rendszerben a lemaradó diákok a </w:t>
      </w:r>
      <w:r w:rsidRPr="00893A4F">
        <w:rPr>
          <w:rFonts w:ascii="Georgia" w:eastAsia="Times New Roman" w:hAnsi="Georgia" w:cs="Times New Roman"/>
          <w:b/>
          <w:color w:val="595959" w:themeColor="text1" w:themeTint="A6"/>
          <w:sz w:val="24"/>
          <w:szCs w:val="24"/>
          <w:lang w:eastAsia="hu-HU"/>
        </w:rPr>
        <w:t>Dobbantó programban</w:t>
      </w:r>
      <w:r w:rsidRPr="00893A4F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egyéni fejlesztés után, műhelyiskolákban folytathatják tanulmányaikat és rész-szakmákat szerezhetnek - hívta fel a figyelmet az államtitkár.</w:t>
      </w:r>
    </w:p>
    <w:p w:rsidR="003F292D" w:rsidRPr="00893A4F" w:rsidRDefault="003F292D" w:rsidP="00893A4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</w:pPr>
      <w:r w:rsidRPr="00A30277">
        <w:rPr>
          <w:rFonts w:ascii="Georgia" w:eastAsia="Times New Roman" w:hAnsi="Georgia" w:cs="Times New Roman"/>
          <w:b/>
          <w:color w:val="595959" w:themeColor="text1" w:themeTint="A6"/>
          <w:sz w:val="24"/>
          <w:szCs w:val="24"/>
          <w:lang w:eastAsia="hu-HU"/>
        </w:rPr>
        <w:t>További információ:</w:t>
      </w:r>
      <w:r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  <w:r w:rsidRPr="003F292D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>https://www.ikk.hu/</w:t>
      </w:r>
      <w:r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hu-HU"/>
        </w:rPr>
        <w:t xml:space="preserve"> </w:t>
      </w:r>
    </w:p>
    <w:p w:rsidR="0043557A" w:rsidRPr="00893A4F" w:rsidRDefault="003B01EB" w:rsidP="0043557A">
      <w:pPr>
        <w:pStyle w:val="NormlWeb"/>
        <w:shd w:val="clear" w:color="auto" w:fill="FFFFFF"/>
        <w:spacing w:before="0" w:beforeAutospacing="0" w:after="210" w:afterAutospacing="0" w:line="330" w:lineRule="atLeast"/>
        <w:jc w:val="both"/>
        <w:rPr>
          <w:rFonts w:ascii="Georgia" w:hAnsi="Georgia" w:cs="Arial"/>
          <w:i/>
          <w:color w:val="7F7F7F" w:themeColor="text1" w:themeTint="80"/>
          <w:sz w:val="20"/>
          <w:szCs w:val="20"/>
        </w:rPr>
      </w:pPr>
      <w:r w:rsidRPr="00893A4F">
        <w:rPr>
          <w:rFonts w:ascii="Georgia" w:hAnsi="Georgia" w:cs="Arial"/>
          <w:i/>
          <w:color w:val="7F7F7F" w:themeColor="text1" w:themeTint="80"/>
          <w:sz w:val="20"/>
          <w:szCs w:val="20"/>
        </w:rPr>
        <w:t>Forrás:</w:t>
      </w:r>
      <w:r w:rsidR="00893A4F" w:rsidRPr="00893A4F">
        <w:rPr>
          <w:rFonts w:ascii="Georgia" w:hAnsi="Georgia" w:cs="Arial"/>
          <w:i/>
          <w:color w:val="7F7F7F" w:themeColor="text1" w:themeTint="80"/>
          <w:sz w:val="20"/>
          <w:szCs w:val="20"/>
        </w:rPr>
        <w:t xml:space="preserve"> MTI</w:t>
      </w:r>
    </w:p>
    <w:p w:rsidR="0043557A" w:rsidRPr="00DB590B" w:rsidRDefault="002E25E0" w:rsidP="0043557A">
      <w:pPr>
        <w:pStyle w:val="NormlWeb"/>
        <w:shd w:val="clear" w:color="auto" w:fill="FFFFFF"/>
        <w:spacing w:before="0" w:beforeAutospacing="0" w:after="210" w:afterAutospacing="0" w:line="330" w:lineRule="atLeast"/>
        <w:jc w:val="both"/>
        <w:rPr>
          <w:rFonts w:ascii="Georgia" w:hAnsi="Georgia" w:cs="Arial"/>
          <w:color w:val="7F7F7F" w:themeColor="text1" w:themeTint="80"/>
        </w:rPr>
      </w:pPr>
      <w:r w:rsidRPr="002E25E0">
        <w:rPr>
          <w:rFonts w:ascii="Georgia" w:hAnsi="Georgia"/>
          <w:color w:val="7F7F7F" w:themeColor="text1" w:themeTint="80"/>
        </w:rPr>
        <w:pict>
          <v:rect id="_x0000_i1026" style="width:0;height:1.5pt" o:hralign="center" o:hrstd="t" o:hr="t" fillcolor="#a0a0a0" stroked="f"/>
        </w:pict>
      </w:r>
    </w:p>
    <w:p w:rsidR="009601FB" w:rsidRPr="00DB590B" w:rsidRDefault="009601FB" w:rsidP="009601FB">
      <w:pPr>
        <w:pStyle w:val="Cmsor1"/>
        <w:shd w:val="clear" w:color="auto" w:fill="FFFFFF"/>
        <w:spacing w:before="0" w:beforeAutospacing="0" w:after="0" w:afterAutospacing="0" w:line="450" w:lineRule="atLeast"/>
        <w:rPr>
          <w:rFonts w:ascii="Georgia" w:hAnsi="Georgia" w:cs="Arial"/>
          <w:color w:val="7F7F7F" w:themeColor="text1" w:themeTint="80"/>
          <w:sz w:val="24"/>
          <w:szCs w:val="24"/>
        </w:rPr>
      </w:pPr>
      <w:r w:rsidRPr="00DB590B">
        <w:rPr>
          <w:rFonts w:ascii="Georgia" w:hAnsi="Georgia" w:cs="Arial"/>
          <w:color w:val="7F7F7F" w:themeColor="text1" w:themeTint="80"/>
          <w:sz w:val="24"/>
          <w:szCs w:val="24"/>
        </w:rPr>
        <w:t>TOP 100: A megye gazdasági elitje 2019-ben</w:t>
      </w:r>
    </w:p>
    <w:p w:rsidR="009601FB" w:rsidRPr="00DB590B" w:rsidRDefault="009601FB" w:rsidP="007C2228">
      <w:pPr>
        <w:jc w:val="both"/>
        <w:rPr>
          <w:rFonts w:ascii="Georgia" w:hAnsi="Georgia"/>
          <w:b/>
          <w:color w:val="7F7F7F" w:themeColor="text1" w:themeTint="80"/>
          <w:sz w:val="24"/>
          <w:szCs w:val="24"/>
        </w:rPr>
      </w:pPr>
      <w:r w:rsidRPr="00DB590B">
        <w:rPr>
          <w:rFonts w:ascii="Georgia" w:hAnsi="Georgia"/>
          <w:b/>
          <w:color w:val="7F7F7F" w:themeColor="text1" w:themeTint="80"/>
          <w:sz w:val="24"/>
          <w:szCs w:val="24"/>
        </w:rPr>
        <w:t xml:space="preserve"> </w:t>
      </w:r>
    </w:p>
    <w:p w:rsidR="003239CF" w:rsidRPr="00576085" w:rsidRDefault="003239CF" w:rsidP="007C2228">
      <w:pPr>
        <w:jc w:val="both"/>
        <w:rPr>
          <w:rFonts w:ascii="Georgia" w:hAnsi="Georgia" w:cs="Arial"/>
          <w:bCs/>
          <w:color w:val="595959" w:themeColor="text1" w:themeTint="A6"/>
          <w:sz w:val="24"/>
          <w:szCs w:val="24"/>
          <w:shd w:val="clear" w:color="auto" w:fill="FFFFFF"/>
        </w:rPr>
      </w:pPr>
      <w:r w:rsidRPr="00576085">
        <w:rPr>
          <w:rFonts w:ascii="Georgia" w:hAnsi="Georgia" w:cs="Arial"/>
          <w:bCs/>
          <w:color w:val="595959" w:themeColor="text1" w:themeTint="A6"/>
          <w:sz w:val="24"/>
          <w:szCs w:val="24"/>
          <w:shd w:val="clear" w:color="auto" w:fill="FFFFFF"/>
        </w:rPr>
        <w:t>A megye legnagyobb vállalkozóinak és cégvezetőinek részvételével került megrendezésre idén is a szokásos év végi gazdasági esemény, a Top 100, melyet a Szabolcs-Szatmár-Bereg Megyei Kereskedelmi és Iparkamara a Nemzeti Adó- és Vámhivatallal, illetve a  Kelet-Magyarországgal együtt szervezett meg.</w:t>
      </w:r>
    </w:p>
    <w:p w:rsidR="003239CF" w:rsidRPr="00576085" w:rsidRDefault="003239CF" w:rsidP="003239CF">
      <w:pPr>
        <w:pStyle w:val="NormlWeb"/>
        <w:shd w:val="clear" w:color="auto" w:fill="FFFFFF"/>
        <w:spacing w:before="0" w:beforeAutospacing="0" w:after="150" w:afterAutospacing="0" w:line="330" w:lineRule="atLeast"/>
        <w:jc w:val="both"/>
        <w:rPr>
          <w:rFonts w:ascii="Georgia" w:hAnsi="Georgia" w:cs="Arial"/>
          <w:color w:val="595959" w:themeColor="text1" w:themeTint="A6"/>
        </w:rPr>
      </w:pPr>
      <w:r w:rsidRPr="00576085">
        <w:rPr>
          <w:rFonts w:ascii="Georgia" w:hAnsi="Georgia" w:cs="Arial"/>
          <w:color w:val="595959" w:themeColor="text1" w:themeTint="A6"/>
        </w:rPr>
        <w:t>Mint minden évben, így 2019-ben is gazdára talált a TOP 100 Gazdasági Díj, amelyet a szakmai zsűri ezúttal Háda Györgynek, a Háda Kft. tulajdonosának ítélte oda. A használtruha-kereskedelemmel foglalkozó családi vállalkozás 24 éves múltra tekint vissza, ma pedig már 83 üzlettel, 12 milliárd Ft-os éves forgalommal és közel évi 5 millió kg ruházati termék eladásával büszkélkedhet!</w:t>
      </w:r>
    </w:p>
    <w:p w:rsidR="009601FB" w:rsidRPr="00BE38CC" w:rsidRDefault="003239CF" w:rsidP="007C2228">
      <w:pPr>
        <w:jc w:val="both"/>
        <w:rPr>
          <w:rFonts w:ascii="Georgia" w:eastAsia="Times New Roman" w:hAnsi="Georgia" w:cs="Arial"/>
          <w:color w:val="566369"/>
          <w:sz w:val="20"/>
          <w:szCs w:val="20"/>
          <w:lang w:eastAsia="hu-HU"/>
        </w:rPr>
      </w:pPr>
      <w:r w:rsidRPr="00BE38CC">
        <w:rPr>
          <w:rFonts w:ascii="Georgia" w:eastAsia="Times New Roman" w:hAnsi="Georgia" w:cs="Arial"/>
          <w:color w:val="566369"/>
          <w:sz w:val="20"/>
          <w:szCs w:val="20"/>
          <w:lang w:eastAsia="hu-HU"/>
        </w:rPr>
        <w:t xml:space="preserve">Forrás: </w:t>
      </w:r>
      <w:hyperlink r:id="rId7" w:history="1">
        <w:r w:rsidR="00893A4F" w:rsidRPr="00BE38CC">
          <w:rPr>
            <w:rStyle w:val="Hiperhivatkozs"/>
            <w:rFonts w:ascii="Georgia" w:eastAsia="Times New Roman" w:hAnsi="Georgia" w:cs="Arial"/>
            <w:sz w:val="20"/>
            <w:szCs w:val="20"/>
            <w:lang w:eastAsia="hu-HU"/>
          </w:rPr>
          <w:t>www.szabkam.hu</w:t>
        </w:r>
      </w:hyperlink>
    </w:p>
    <w:p w:rsidR="005A7320" w:rsidRPr="00DB590B" w:rsidRDefault="002E25E0" w:rsidP="005A7320">
      <w:pPr>
        <w:pBdr>
          <w:between w:val="single" w:sz="4" w:space="1" w:color="auto"/>
        </w:pBdr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2E25E0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412A28" w:rsidRPr="00A30277" w:rsidRDefault="00412A28" w:rsidP="00412A28">
      <w:pPr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7F7F7F" w:themeColor="text1" w:themeTint="80"/>
          <w:kern w:val="36"/>
          <w:sz w:val="24"/>
          <w:szCs w:val="24"/>
          <w:lang w:eastAsia="hu-HU"/>
        </w:rPr>
      </w:pPr>
      <w:r w:rsidRPr="00412A28">
        <w:rPr>
          <w:rFonts w:ascii="Georgia" w:eastAsia="Times New Roman" w:hAnsi="Georgia" w:cs="Times New Roman"/>
          <w:b/>
          <w:bCs/>
          <w:color w:val="7F7F7F" w:themeColor="text1" w:themeTint="80"/>
          <w:kern w:val="36"/>
          <w:sz w:val="24"/>
          <w:szCs w:val="24"/>
          <w:lang w:eastAsia="hu-HU"/>
        </w:rPr>
        <w:t>Kis eséllyel lehet új minimálbéralku</w:t>
      </w:r>
    </w:p>
    <w:p w:rsidR="00C74837" w:rsidRPr="00412A28" w:rsidRDefault="00C74837" w:rsidP="00412A28">
      <w:pPr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Cs/>
          <w:color w:val="4D4D4D"/>
          <w:kern w:val="36"/>
          <w:sz w:val="24"/>
          <w:szCs w:val="24"/>
          <w:lang w:eastAsia="hu-HU"/>
        </w:rPr>
      </w:pPr>
    </w:p>
    <w:p w:rsidR="00412A28" w:rsidRPr="00353AFC" w:rsidRDefault="00353AFC" w:rsidP="00353AFC">
      <w:pPr>
        <w:spacing w:line="376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</w:pPr>
      <w:r w:rsidRPr="00353AFC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  <w:t xml:space="preserve">A </w:t>
      </w:r>
      <w:r w:rsidR="00412A28" w:rsidRPr="00353AFC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  <w:t xml:space="preserve">munkáltatók ragaszkodnak a tavalyi megállapodásban foglalt nyolcszázalékos emeléshez </w:t>
      </w:r>
    </w:p>
    <w:p w:rsidR="00412A28" w:rsidRPr="00C74837" w:rsidRDefault="00412A28" w:rsidP="00C74837">
      <w:pPr>
        <w:pStyle w:val="NormlWeb"/>
        <w:shd w:val="clear" w:color="auto" w:fill="FFFFFF" w:themeFill="background1"/>
        <w:spacing w:before="150" w:beforeAutospacing="0" w:after="150" w:afterAutospacing="0" w:line="276" w:lineRule="auto"/>
        <w:jc w:val="both"/>
        <w:rPr>
          <w:rFonts w:ascii="Georgia" w:hAnsi="Georgia" w:cs="Arial"/>
          <w:bCs/>
          <w:color w:val="4D4D4D"/>
          <w:shd w:val="clear" w:color="auto" w:fill="FFFFFF"/>
        </w:rPr>
      </w:pPr>
      <w:r w:rsidRPr="00C74837">
        <w:rPr>
          <w:rFonts w:ascii="Georgia" w:hAnsi="Georgia" w:cs="Arial"/>
          <w:bCs/>
          <w:color w:val="4D4D4D"/>
          <w:shd w:val="clear" w:color="auto" w:fill="FFFFFF"/>
        </w:rPr>
        <w:t xml:space="preserve">Továbbra sem sikerült tető alá hozniuk a szociális partnereknek új megállapodást a minimálbér és a garantált bérminimum jövő évi mértékéről, így egyre valószínűbb, hogy a két összeg a korábban meghatározott nyolc-nyolc százalékkal nő 2020-ban. A kormány álláspontja szerint a képviseleteknek kell megegyezniük, míg a munkaadók </w:t>
      </w:r>
      <w:r w:rsidRPr="00C74837">
        <w:rPr>
          <w:rFonts w:ascii="Georgia" w:hAnsi="Georgia" w:cs="Arial"/>
          <w:bCs/>
          <w:color w:val="4D4D4D"/>
          <w:shd w:val="clear" w:color="auto" w:fill="FFFFFF"/>
        </w:rPr>
        <w:lastRenderedPageBreak/>
        <w:t xml:space="preserve">a globális, s áttételesen a magyar gazdasági növekedés várható lassulása és a kisebb cégek talpon maradása </w:t>
      </w:r>
      <w:r w:rsidRPr="00C74837">
        <w:rPr>
          <w:rFonts w:ascii="Georgia" w:hAnsi="Georgia" w:cs="Arial"/>
          <w:bCs/>
          <w:color w:val="4D4D4D"/>
          <w:shd w:val="clear" w:color="auto" w:fill="FFFFFF"/>
        </w:rPr>
        <w:softHyphen/>
        <w:t xml:space="preserve">miatt nem hajlandók eltérni az eredeti megállapodástól. </w:t>
      </w:r>
    </w:p>
    <w:p w:rsidR="00412A28" w:rsidRDefault="00412A28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  <w:r w:rsidRPr="00412A28">
        <w:rPr>
          <w:rFonts w:ascii="Georgia" w:hAnsi="Georgia"/>
          <w:color w:val="4D4D4D"/>
        </w:rPr>
        <w:t>Várhatóan nem kötnek új megállapodást a munkavállalói és a munkaadói érdekképviseletek, így jövőre is nyolc-nyolc százalékkal emelkedhet a minimálbér és a gara</w:t>
      </w:r>
      <w:r w:rsidR="004F662A">
        <w:rPr>
          <w:rFonts w:ascii="Georgia" w:hAnsi="Georgia"/>
          <w:color w:val="4D4D4D"/>
        </w:rPr>
        <w:t>ntált bérminimum összege a 2018</w:t>
      </w:r>
      <w:r w:rsidRPr="00412A28">
        <w:rPr>
          <w:rFonts w:ascii="Georgia" w:hAnsi="Georgia"/>
          <w:color w:val="4D4D4D"/>
        </w:rPr>
        <w:t xml:space="preserve"> végén megkötött egyez</w:t>
      </w:r>
      <w:r w:rsidRPr="00412A28">
        <w:rPr>
          <w:rFonts w:ascii="Georgia" w:hAnsi="Georgia"/>
          <w:color w:val="4D4D4D"/>
        </w:rPr>
        <w:softHyphen/>
        <w:t>ség értelmében.</w:t>
      </w:r>
    </w:p>
    <w:p w:rsidR="004F662A" w:rsidRPr="00412A28" w:rsidRDefault="004F662A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</w:p>
    <w:p w:rsidR="00412A28" w:rsidRDefault="00412A28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  <w:r w:rsidRPr="00412A28">
        <w:rPr>
          <w:rFonts w:ascii="Georgia" w:hAnsi="Georgia"/>
          <w:color w:val="4D4D4D"/>
        </w:rPr>
        <w:t>Azaz a minimálbér összege 2020-ban bruttó 161 ezer forintra, míg a középfokú végzettséghez kötött, a kötelező legkisebb keresetűek érdemi többségét adó bérminimum bruttó 210,6 ezer forintra nőhet.</w:t>
      </w:r>
    </w:p>
    <w:p w:rsidR="004F662A" w:rsidRPr="00412A28" w:rsidRDefault="004F662A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</w:p>
    <w:p w:rsidR="00412A28" w:rsidRDefault="00412A28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  <w:r w:rsidRPr="00412A28">
        <w:rPr>
          <w:rFonts w:ascii="Georgia" w:hAnsi="Georgia"/>
          <w:color w:val="4D4D4D"/>
        </w:rPr>
        <w:t>A Magyar Nemzet úgy tudja, a kormány év végéig csak abban az esetben hívja össze a Versenyszféra és a Kormány Állandó Konzultációs Fórumának ülését, amennyiben a képviseletek ezt maguk kezdeményezik. Értesülésünk szerint a kabinet egyrészt az érvényben lévő, kétéves megállapodás miatt marad távol a minimálbérekkel kapcsolatos döntéstől, másrészt úgy tartják, a szociális partnereknek kell továbbra is egyez</w:t>
      </w:r>
      <w:r w:rsidRPr="00412A28">
        <w:rPr>
          <w:rFonts w:ascii="Georgia" w:hAnsi="Georgia"/>
          <w:color w:val="4D4D4D"/>
        </w:rPr>
        <w:softHyphen/>
        <w:t>ségre jutniuk. A 2020-as minimálbérek pontos összegét várha</w:t>
      </w:r>
      <w:r w:rsidRPr="00412A28">
        <w:rPr>
          <w:rFonts w:ascii="Georgia" w:hAnsi="Georgia"/>
          <w:color w:val="4D4D4D"/>
        </w:rPr>
        <w:softHyphen/>
        <w:t>tóan a december utolsó napján megjelenő Magyar Közlönyben hirdetik ki.</w:t>
      </w:r>
    </w:p>
    <w:p w:rsidR="00412A28" w:rsidRPr="00412A28" w:rsidRDefault="00412A28" w:rsidP="00C74837">
      <w:pPr>
        <w:pStyle w:val="Norml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4D4D4D"/>
        </w:rPr>
      </w:pPr>
    </w:p>
    <w:p w:rsidR="00412A28" w:rsidRPr="00412A28" w:rsidRDefault="00412A28" w:rsidP="00D21673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 w:cs="Arial"/>
          <w:bCs/>
          <w:color w:val="4D4D4D"/>
          <w:sz w:val="20"/>
          <w:szCs w:val="20"/>
          <w:shd w:val="clear" w:color="auto" w:fill="FFFFFF"/>
        </w:rPr>
      </w:pPr>
      <w:r w:rsidRPr="00412A28">
        <w:rPr>
          <w:rFonts w:ascii="Georgia" w:hAnsi="Georgia" w:cs="Arial"/>
          <w:bCs/>
          <w:color w:val="4D4D4D"/>
          <w:sz w:val="20"/>
          <w:szCs w:val="20"/>
          <w:shd w:val="clear" w:color="auto" w:fill="FFFFFF"/>
        </w:rPr>
        <w:t>Forrás: https://magyarnemzet.hu</w:t>
      </w:r>
    </w:p>
    <w:p w:rsidR="009601FB" w:rsidRPr="00DB590B" w:rsidRDefault="002E25E0" w:rsidP="00D21673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iCs/>
          <w:color w:val="666666"/>
        </w:rPr>
      </w:pPr>
      <w:r w:rsidRPr="002E25E0">
        <w:rPr>
          <w:rFonts w:ascii="Georgia" w:hAnsi="Georgia"/>
          <w:color w:val="7F7F7F" w:themeColor="text1" w:themeTint="80"/>
        </w:rPr>
        <w:pict>
          <v:rect id="_x0000_i1028" style="width:0;height:1.5pt" o:hralign="center" o:hrstd="t" o:hr="t" fillcolor="#a0a0a0" stroked="f"/>
        </w:pict>
      </w:r>
    </w:p>
    <w:p w:rsidR="0043557A" w:rsidRPr="00353AFC" w:rsidRDefault="00DD5F5D" w:rsidP="007C2228">
      <w:pPr>
        <w:jc w:val="both"/>
        <w:rPr>
          <w:rFonts w:ascii="Georgia" w:hAnsi="Georgia"/>
          <w:b/>
          <w:color w:val="404040" w:themeColor="text1" w:themeTint="BF"/>
          <w:sz w:val="24"/>
          <w:szCs w:val="24"/>
        </w:rPr>
      </w:pPr>
      <w:r w:rsidRPr="00353AFC">
        <w:rPr>
          <w:rFonts w:ascii="Georgia" w:hAnsi="Georgia"/>
          <w:b/>
          <w:color w:val="404040" w:themeColor="text1" w:themeTint="BF"/>
          <w:sz w:val="24"/>
          <w:szCs w:val="24"/>
        </w:rPr>
        <w:t xml:space="preserve">Pályázati hírek </w:t>
      </w:r>
    </w:p>
    <w:p w:rsidR="00893A4F" w:rsidRPr="00893A4F" w:rsidRDefault="002E25E0" w:rsidP="00893A4F">
      <w:pPr>
        <w:pStyle w:val="Cmsor2"/>
        <w:rPr>
          <w:rFonts w:ascii="Georgia" w:hAnsi="Georgia"/>
          <w:color w:val="7F7F7F" w:themeColor="text1" w:themeTint="80"/>
          <w:sz w:val="24"/>
          <w:szCs w:val="24"/>
        </w:rPr>
      </w:pPr>
      <w:hyperlink r:id="rId8" w:history="1">
        <w:r w:rsidR="00893A4F" w:rsidRPr="00893A4F">
          <w:rPr>
            <w:rStyle w:val="Hiperhivatkozs"/>
            <w:rFonts w:ascii="Georgia" w:hAnsi="Georgia"/>
            <w:color w:val="7F7F7F" w:themeColor="text1" w:themeTint="80"/>
            <w:sz w:val="24"/>
            <w:szCs w:val="24"/>
            <w:u w:val="none"/>
          </w:rPr>
          <w:t>Már lehet pályázni az új gyakornoki programra</w:t>
        </w:r>
      </w:hyperlink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>Már beadhatók a támogatási kérelmek az Új gyakornoki program című pályázati felhívásra - közölte Rákossy Balázs, a Pénzügyminisztérium (PM) európai uniós források felhasználásáért felelős államtitkára kedden az MTI-vel.</w:t>
      </w:r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> A Gazdaságfejlesztési és Innovációs Operatív Program (GINOP) keretében induló pályázat keretösszege 10 milliárd forint - tette hozzá az államtitkár.</w:t>
      </w:r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>Elmondta, hogy az új program az ifjúsági garancia rendszer részeként valósul meg, hasonlóan a korábbi, Gyakornoki program pályakezdők támogatására című felhíváshoz.</w:t>
      </w:r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>A korábbi pályázat tapasztalatai alapján az új program egyszerűsített költségelszámolás alkalmazásával biztosítja a szakképzésből kilépő fiatalok munkatapasztalathoz jutását, a támogatás aktív és hatékony felhasználását - emelte ki az államtitkár.</w:t>
      </w:r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 xml:space="preserve">Az Új gyakornoki program a vállalkozás statisztikai létszámának növelésével együtt járó, azaz új státusz betöltését eredményező foglalkoztatás esetén bér- és járuléktámogatást nyújt a vállalkozások számára gyakornokok (legfeljebb 6 fő) foglalkoztatásához, valamint a vállalati gyakornoki kapcsolattartói (két fő gyakornokonként maximum 1 fő) tevékenység ellátásához hat hónapon keresztül. Lehetőséget teremt továbbá megváltozott munkaképességű gyakornok foglalkoztatása </w:t>
      </w:r>
      <w:r w:rsidRPr="00576085">
        <w:rPr>
          <w:rFonts w:ascii="Georgia" w:hAnsi="Georgia"/>
          <w:color w:val="595959" w:themeColor="text1" w:themeTint="A6"/>
        </w:rPr>
        <w:lastRenderedPageBreak/>
        <w:t>esetén a munkavégzés segítésével foglalkozó személy (1 fő) foglalkozatására is - részletezte Rákossy Balázs.</w:t>
      </w:r>
    </w:p>
    <w:p w:rsidR="00893A4F" w:rsidRPr="00576085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576085">
        <w:rPr>
          <w:rFonts w:ascii="Georgia" w:hAnsi="Georgia"/>
          <w:color w:val="595959" w:themeColor="text1" w:themeTint="A6"/>
        </w:rPr>
        <w:t>A felhívás biztosítja a gyakornoki munkavégzéshez szükséges feltételek kialakítását is, amelynek költségei egyszerűsített költségelszámolás keretében a gyakornok és a vállalati gyakornoki kapcsolattartó személyi jellegű ráfordításainak 40 százalékáig elszámolhatóak. A program kerete mintegy 2700 gyakornok foglalkoztatásához biztosít támogatást - ismertette az államtitkár.</w:t>
      </w:r>
    </w:p>
    <w:p w:rsidR="00893A4F" w:rsidRPr="00893A4F" w:rsidRDefault="00893A4F" w:rsidP="00893A4F">
      <w:pPr>
        <w:pStyle w:val="NormlWeb"/>
        <w:jc w:val="both"/>
        <w:rPr>
          <w:rFonts w:ascii="Georgia" w:hAnsi="Georgia"/>
          <w:color w:val="7F7F7F" w:themeColor="text1" w:themeTint="80"/>
          <w:sz w:val="20"/>
          <w:szCs w:val="20"/>
        </w:rPr>
      </w:pPr>
      <w:r w:rsidRPr="00893A4F">
        <w:rPr>
          <w:rStyle w:val="Kiemels"/>
          <w:rFonts w:ascii="Georgia" w:hAnsi="Georgia"/>
          <w:color w:val="7F7F7F" w:themeColor="text1" w:themeTint="80"/>
          <w:sz w:val="20"/>
          <w:szCs w:val="20"/>
        </w:rPr>
        <w:t>Forrás: kormany.hu</w:t>
      </w:r>
    </w:p>
    <w:p w:rsidR="00893A4F" w:rsidRPr="00DB590B" w:rsidRDefault="002E25E0" w:rsidP="00893A4F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666666"/>
          <w:shd w:val="clear" w:color="auto" w:fill="FFFFFF" w:themeFill="background1"/>
        </w:rPr>
      </w:pPr>
      <w:r w:rsidRPr="002E25E0">
        <w:rPr>
          <w:rFonts w:ascii="Georgia" w:hAnsi="Georgia"/>
          <w:color w:val="7F7F7F" w:themeColor="text1" w:themeTint="80"/>
        </w:rPr>
        <w:pict>
          <v:rect id="_x0000_i1029" style="width:0;height:1.5pt" o:hralign="center" o:hrstd="t" o:hr="t" fillcolor="#a0a0a0" stroked="f"/>
        </w:pict>
      </w:r>
    </w:p>
    <w:p w:rsidR="00893A4F" w:rsidRPr="00BE38CC" w:rsidRDefault="002E25E0" w:rsidP="00893A4F">
      <w:pPr>
        <w:rPr>
          <w:rFonts w:ascii="Georgia" w:hAnsi="Georgia"/>
          <w:b/>
          <w:color w:val="7F7F7F" w:themeColor="text1" w:themeTint="80"/>
          <w:sz w:val="24"/>
          <w:szCs w:val="24"/>
        </w:rPr>
      </w:pPr>
      <w:hyperlink r:id="rId9" w:history="1">
        <w:r w:rsidR="00893A4F" w:rsidRPr="00BE38CC">
          <w:rPr>
            <w:rStyle w:val="Hiperhivatkozs"/>
            <w:rFonts w:ascii="Georgia" w:hAnsi="Georgia"/>
            <w:b/>
            <w:color w:val="7F7F7F" w:themeColor="text1" w:themeTint="80"/>
            <w:sz w:val="24"/>
            <w:szCs w:val="24"/>
            <w:u w:val="none"/>
          </w:rPr>
          <w:t>Megjelent a "Foglalkoztatásbővítés ösztönzése" című GINOP pályázati felhívás</w:t>
        </w:r>
      </w:hyperlink>
    </w:p>
    <w:p w:rsidR="00893A4F" w:rsidRPr="00C74837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C74837">
        <w:rPr>
          <w:rFonts w:ascii="Georgia" w:hAnsi="Georgia"/>
          <w:color w:val="595959" w:themeColor="text1" w:themeTint="A6"/>
        </w:rPr>
        <w:t xml:space="preserve">Megjelent a </w:t>
      </w:r>
      <w:r w:rsidRPr="00C74837">
        <w:rPr>
          <w:rStyle w:val="Kiemels2"/>
          <w:rFonts w:ascii="Georgia" w:hAnsi="Georgia"/>
          <w:color w:val="595959" w:themeColor="text1" w:themeTint="A6"/>
        </w:rPr>
        <w:t>Foglalkoztatásbővítés ösztönzése</w:t>
      </w:r>
      <w:r w:rsidRPr="00C74837">
        <w:rPr>
          <w:rFonts w:ascii="Georgia" w:hAnsi="Georgia"/>
          <w:color w:val="595959" w:themeColor="text1" w:themeTint="A6"/>
        </w:rPr>
        <w:t xml:space="preserve"> című pályázati felhívás a Gazdaságfejlesztési és Innovációs Operatív Program (GINOP) keretében, amely 12 milliárd forintos keretösszegével segíti majd a </w:t>
      </w:r>
      <w:r w:rsidRPr="00C74837">
        <w:rPr>
          <w:rStyle w:val="Kiemels2"/>
          <w:rFonts w:ascii="Georgia" w:hAnsi="Georgia"/>
          <w:color w:val="595959" w:themeColor="text1" w:themeTint="A6"/>
        </w:rPr>
        <w:t>mikro-, kis- és középvállalkozások foglalkoztatotti létszámának növelését.</w:t>
      </w:r>
    </w:p>
    <w:p w:rsidR="00893A4F" w:rsidRPr="00C74837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C74837">
        <w:rPr>
          <w:rFonts w:ascii="Georgia" w:hAnsi="Georgia"/>
          <w:color w:val="595959" w:themeColor="text1" w:themeTint="A6"/>
        </w:rPr>
        <w:t>Rákossy Balázs, az európai uniós források felhasználásáért felelős államtitkár elmondta, hogy a munkaerőpiac változásai folyamatos alkalmazkodást igényelnek a vállalkozásoktól. A munkaerőhiány kezelésének egyik lehetséges módja a tevékenységük bővítése a munkaerő-tartalékkal rendelkező térségekben. A támogatás az ország azon négy régiójában érhető majd el, ahol a foglalkoztatási ráta az országos átlag alatti szinten volt 2017-ben, így Észak-Alföldön, Észak-Magyarországon, Dél-Dunántúlon és Dél-Alföldön.</w:t>
      </w:r>
    </w:p>
    <w:p w:rsidR="00893A4F" w:rsidRPr="00C74837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C74837">
        <w:rPr>
          <w:rFonts w:ascii="Georgia" w:hAnsi="Georgia"/>
          <w:color w:val="595959" w:themeColor="text1" w:themeTint="A6"/>
        </w:rPr>
        <w:t xml:space="preserve">A felhívásra azok a vállalkozások nyújthatnak majd </w:t>
      </w:r>
      <w:proofErr w:type="gramStart"/>
      <w:r w:rsidRPr="00C74837">
        <w:rPr>
          <w:rFonts w:ascii="Georgia" w:hAnsi="Georgia"/>
          <w:color w:val="595959" w:themeColor="text1" w:themeTint="A6"/>
        </w:rPr>
        <w:t>be támogatási</w:t>
      </w:r>
      <w:proofErr w:type="gramEnd"/>
      <w:r w:rsidRPr="00C74837">
        <w:rPr>
          <w:rFonts w:ascii="Georgia" w:hAnsi="Georgia"/>
          <w:color w:val="595959" w:themeColor="text1" w:themeTint="A6"/>
        </w:rPr>
        <w:t xml:space="preserve"> kérelmet, amelyek vállalják, hogy az adott régiók valamelyikében működő vagy újonnan létrehozott telephelyen legalább 3, maximum 15 fővel bővítik a foglalkoztatottak számát, a beruházással létrejött új munkahelyeket a munkahely első betöltésétől számított legalább három évig az érintett területen fenntartják, és akik vállalják a kormányhivatallal való együttműködést a toborzás során.</w:t>
      </w:r>
    </w:p>
    <w:p w:rsidR="00893A4F" w:rsidRPr="00C74837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C74837">
        <w:rPr>
          <w:rFonts w:ascii="Georgia" w:hAnsi="Georgia"/>
          <w:color w:val="595959" w:themeColor="text1" w:themeTint="A6"/>
        </w:rPr>
        <w:t>Az igényelhető támogatás minimum 8, maximum 90 millió forint lesz. Az egy főre jutó támogatás maximális mértéke a becsült 2 teljes éves bérköltség 70 százaléka kisvállalkozás, illetve 60 százaléka középvállalkozás esetén. A havi bruttó munkabér maximális elszámolható költségeként legfeljebb 350 000 forint vehető figyelembe - ismertette Rákossy Balázs.</w:t>
      </w:r>
    </w:p>
    <w:p w:rsidR="00893A4F" w:rsidRPr="00C74837" w:rsidRDefault="00893A4F" w:rsidP="00893A4F">
      <w:pPr>
        <w:pStyle w:val="NormlWeb"/>
        <w:jc w:val="both"/>
        <w:rPr>
          <w:rFonts w:ascii="Georgia" w:hAnsi="Georgia"/>
          <w:color w:val="595959" w:themeColor="text1" w:themeTint="A6"/>
        </w:rPr>
      </w:pPr>
      <w:r w:rsidRPr="00C74837">
        <w:rPr>
          <w:rFonts w:ascii="Georgia" w:hAnsi="Georgia"/>
          <w:color w:val="595959" w:themeColor="text1" w:themeTint="A6"/>
        </w:rPr>
        <w:t xml:space="preserve">Az új munkavállaló 24 hónapon keresztül történő foglalkoztatása olyan induló beruházás esetén támogatható, amely új létesítmény létrehozatalát, vagy egy meglévő létesítmény kapacitásának bővítését, vagy termékkínálatának új termékekkel való bővítését, illetve egy </w:t>
      </w:r>
      <w:proofErr w:type="gramStart"/>
      <w:r w:rsidRPr="00C74837">
        <w:rPr>
          <w:rFonts w:ascii="Georgia" w:hAnsi="Georgia"/>
          <w:color w:val="595959" w:themeColor="text1" w:themeTint="A6"/>
        </w:rPr>
        <w:t>meglévő</w:t>
      </w:r>
      <w:proofErr w:type="gramEnd"/>
      <w:r w:rsidRPr="00C74837">
        <w:rPr>
          <w:rFonts w:ascii="Georgia" w:hAnsi="Georgia"/>
          <w:color w:val="595959" w:themeColor="text1" w:themeTint="A6"/>
        </w:rPr>
        <w:t xml:space="preserve"> létesítmény teljes termelési folyamatának alapvető megváltoztatását eredményezi. A támogatási kérelmek benyújtása 2020. január 27-től lesz lehetőség.</w:t>
      </w:r>
    </w:p>
    <w:p w:rsidR="007C2228" w:rsidRPr="00893A4F" w:rsidRDefault="00355BED" w:rsidP="00DD5F5D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Georgia" w:hAnsi="Georgia" w:cs="Arial"/>
          <w:i/>
          <w:color w:val="666666"/>
          <w:sz w:val="20"/>
          <w:szCs w:val="20"/>
          <w:shd w:val="clear" w:color="auto" w:fill="FFFFFF" w:themeFill="background1"/>
        </w:rPr>
      </w:pPr>
      <w:r w:rsidRPr="00BE38CC">
        <w:rPr>
          <w:rFonts w:ascii="Georgia" w:hAnsi="Georgia" w:cs="Arial"/>
          <w:i/>
          <w:color w:val="7F7F7F" w:themeColor="text1" w:themeTint="80"/>
          <w:sz w:val="20"/>
          <w:szCs w:val="20"/>
          <w:shd w:val="clear" w:color="auto" w:fill="FFFFFF" w:themeFill="background1"/>
        </w:rPr>
        <w:t>Forrás:</w:t>
      </w:r>
      <w:r w:rsidRPr="00893A4F">
        <w:rPr>
          <w:rFonts w:ascii="Georgia" w:hAnsi="Georgia" w:cs="Arial"/>
          <w:i/>
          <w:color w:val="666666"/>
          <w:sz w:val="20"/>
          <w:szCs w:val="20"/>
          <w:shd w:val="clear" w:color="auto" w:fill="FFFFFF" w:themeFill="background1"/>
        </w:rPr>
        <w:t xml:space="preserve"> </w:t>
      </w:r>
      <w:hyperlink r:id="rId10" w:history="1">
        <w:r w:rsidR="007C2228" w:rsidRPr="00893A4F">
          <w:rPr>
            <w:rStyle w:val="Hiperhivatkozs"/>
            <w:rFonts w:ascii="Georgia" w:hAnsi="Georgia" w:cs="Arial"/>
            <w:i/>
            <w:sz w:val="20"/>
            <w:szCs w:val="20"/>
            <w:shd w:val="clear" w:color="auto" w:fill="FFFFFF" w:themeFill="background1"/>
          </w:rPr>
          <w:t>www.palyazatihirek.eu</w:t>
        </w:r>
      </w:hyperlink>
      <w:r w:rsidR="007C2228" w:rsidRPr="00893A4F">
        <w:rPr>
          <w:rFonts w:ascii="Georgia" w:hAnsi="Georgia" w:cs="Arial"/>
          <w:i/>
          <w:color w:val="666666"/>
          <w:sz w:val="20"/>
          <w:szCs w:val="20"/>
          <w:shd w:val="clear" w:color="auto" w:fill="FFFFFF" w:themeFill="background1"/>
        </w:rPr>
        <w:t xml:space="preserve"> </w:t>
      </w:r>
    </w:p>
    <w:p w:rsidR="00DE1222" w:rsidRPr="00DB590B" w:rsidRDefault="002E25E0" w:rsidP="00DD5F5D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666666"/>
          <w:shd w:val="clear" w:color="auto" w:fill="FFFFFF" w:themeFill="background1"/>
        </w:rPr>
      </w:pPr>
      <w:r w:rsidRPr="002E25E0">
        <w:rPr>
          <w:rFonts w:ascii="Georgia" w:hAnsi="Georgia"/>
          <w:color w:val="7F7F7F" w:themeColor="text1" w:themeTint="80"/>
        </w:rPr>
        <w:pict>
          <v:rect id="_x0000_i1030" style="width:0;height:1.5pt" o:hralign="center" o:hrstd="t" o:hr="t" fillcolor="#a0a0a0" stroked="f"/>
        </w:pict>
      </w:r>
    </w:p>
    <w:p w:rsidR="00E77A91" w:rsidRDefault="00E77A91" w:rsidP="00E77A91">
      <w:pPr>
        <w:pStyle w:val="normal-header"/>
        <w:ind w:firstLine="0"/>
        <w:rPr>
          <w:rFonts w:ascii="Georgia" w:hAnsi="Georgia"/>
          <w:b/>
          <w:color w:val="7F7F7F" w:themeColor="text1" w:themeTint="80"/>
          <w:sz w:val="24"/>
        </w:rPr>
      </w:pPr>
    </w:p>
    <w:p w:rsidR="00A30277" w:rsidRPr="00E77A91" w:rsidRDefault="00A30277" w:rsidP="00E77A91">
      <w:pPr>
        <w:pStyle w:val="normal-header"/>
        <w:ind w:firstLine="0"/>
        <w:rPr>
          <w:rFonts w:ascii="Georgia" w:hAnsi="Georgia"/>
          <w:b/>
          <w:color w:val="7F7F7F" w:themeColor="text1" w:themeTint="80"/>
          <w:sz w:val="24"/>
        </w:rPr>
      </w:pPr>
    </w:p>
    <w:p w:rsidR="00E77A91" w:rsidRPr="00E77A91" w:rsidRDefault="00E77A91" w:rsidP="00E77A91">
      <w:pPr>
        <w:pStyle w:val="normal-header"/>
        <w:ind w:firstLine="0"/>
        <w:rPr>
          <w:rFonts w:ascii="Georgia" w:hAnsi="Georgia"/>
          <w:b/>
          <w:color w:val="7F7F7F" w:themeColor="text1" w:themeTint="80"/>
          <w:sz w:val="24"/>
        </w:rPr>
      </w:pPr>
      <w:r w:rsidRPr="00E77A91">
        <w:rPr>
          <w:rFonts w:ascii="Georgia" w:hAnsi="Georgia"/>
          <w:b/>
          <w:color w:val="7F7F7F" w:themeColor="text1" w:themeTint="80"/>
          <w:sz w:val="24"/>
        </w:rPr>
        <w:t xml:space="preserve">Teljes foglalkoztatottság - Foglalkoztathatóság </w:t>
      </w:r>
    </w:p>
    <w:p w:rsidR="00E77A91" w:rsidRPr="00E77A91" w:rsidRDefault="00E77A91" w:rsidP="00E77A91">
      <w:pPr>
        <w:pStyle w:val="normal-header"/>
        <w:ind w:firstLine="0"/>
        <w:rPr>
          <w:rFonts w:ascii="Georgia" w:hAnsi="Georgia"/>
          <w:color w:val="7F7F7F" w:themeColor="text1" w:themeTint="80"/>
          <w:sz w:val="24"/>
        </w:rPr>
      </w:pPr>
    </w:p>
    <w:p w:rsidR="00E77A91" w:rsidRPr="00E77A91" w:rsidRDefault="00E77A91" w:rsidP="00E77A91">
      <w:pPr>
        <w:pStyle w:val="normal-header"/>
        <w:ind w:firstLine="0"/>
        <w:rPr>
          <w:rFonts w:ascii="Georgia" w:hAnsi="Georgia"/>
          <w:b/>
          <w:color w:val="7F7F7F" w:themeColor="text1" w:themeTint="80"/>
          <w:sz w:val="24"/>
        </w:rPr>
      </w:pPr>
      <w:r w:rsidRPr="00E77A91">
        <w:rPr>
          <w:rFonts w:ascii="Georgia" w:hAnsi="Georgia"/>
          <w:b/>
          <w:color w:val="7F7F7F" w:themeColor="text1" w:themeTint="80"/>
          <w:sz w:val="24"/>
        </w:rPr>
        <w:t>A Szabolcs-Szatmár-Bereg Megyei Önkormányzat és a Szabolcs-Szatmár-Bereg Megyei Kormányhivatal 2019.12.12. napján a TOP-5.1.1-15-SB1-2016-00001 számú, „Foglalkoztatási együttműködések Szabolcs-Szatmár-Bereg megyében” című projekt keretében konferenciát szervezett.</w:t>
      </w:r>
    </w:p>
    <w:p w:rsidR="00E77A91" w:rsidRPr="00E77A91" w:rsidRDefault="00E77A91" w:rsidP="00E77A91">
      <w:pPr>
        <w:pStyle w:val="normal-header"/>
        <w:ind w:firstLine="0"/>
        <w:rPr>
          <w:rFonts w:ascii="Georgia" w:hAnsi="Georgia"/>
          <w:b/>
          <w:color w:val="7F7F7F" w:themeColor="text1" w:themeTint="80"/>
          <w:sz w:val="24"/>
        </w:rPr>
      </w:pPr>
    </w:p>
    <w:p w:rsidR="00E77A91" w:rsidRPr="00A30277" w:rsidRDefault="00E77A91" w:rsidP="00E77A91">
      <w:pPr>
        <w:pStyle w:val="normal-header"/>
        <w:ind w:firstLine="0"/>
        <w:rPr>
          <w:rFonts w:ascii="Georgia" w:hAnsi="Georgia"/>
          <w:color w:val="595959" w:themeColor="text1" w:themeTint="A6"/>
          <w:sz w:val="24"/>
        </w:rPr>
      </w:pPr>
      <w:r w:rsidRPr="00A30277">
        <w:rPr>
          <w:rFonts w:ascii="Georgia" w:hAnsi="Georgia"/>
          <w:color w:val="595959" w:themeColor="text1" w:themeTint="A6"/>
          <w:sz w:val="24"/>
        </w:rPr>
        <w:t>A rendezvény fókuszában a szakképzés átalakulása, átalakítása, valamint a munkaerőhiány megoldásának és a már meglévő munkaerő megtartásának lehetőségei álltak.</w:t>
      </w:r>
    </w:p>
    <w:p w:rsidR="00E77A91" w:rsidRPr="00A30277" w:rsidRDefault="00E77A91" w:rsidP="00E77A91">
      <w:pPr>
        <w:pStyle w:val="normal-header"/>
        <w:ind w:firstLine="0"/>
        <w:rPr>
          <w:rFonts w:ascii="Georgia" w:hAnsi="Georgia"/>
          <w:color w:val="595959" w:themeColor="text1" w:themeTint="A6"/>
          <w:sz w:val="24"/>
        </w:rPr>
      </w:pPr>
    </w:p>
    <w:p w:rsidR="00E77A91" w:rsidRPr="00A30277" w:rsidRDefault="00E77A91" w:rsidP="00E77A91">
      <w:pPr>
        <w:pStyle w:val="normal-header"/>
        <w:ind w:firstLine="0"/>
        <w:rPr>
          <w:rFonts w:ascii="Georgia" w:hAnsi="Georgia"/>
          <w:color w:val="595959" w:themeColor="text1" w:themeTint="A6"/>
          <w:sz w:val="24"/>
        </w:rPr>
      </w:pPr>
      <w:r w:rsidRPr="00A30277">
        <w:rPr>
          <w:rFonts w:ascii="Georgia" w:hAnsi="Georgia" w:cs="Arial"/>
          <w:color w:val="595959" w:themeColor="text1" w:themeTint="A6"/>
          <w:sz w:val="24"/>
        </w:rPr>
        <w:t>A konferencián résztvevőket Seszták Oszkár, a Szabolcs-Szatmár-Bereg Megyei Közgyűlés elnöke köszöntötte és osztotta meg gondolatait a rendezvény céljáról. Első előadóként</w:t>
      </w:r>
      <w:r w:rsidRPr="00A30277">
        <w:rPr>
          <w:rFonts w:ascii="Georgia" w:hAnsi="Georgia"/>
          <w:color w:val="595959" w:themeColor="text1" w:themeTint="A6"/>
          <w:sz w:val="24"/>
        </w:rPr>
        <w:t xml:space="preserve"> Pölöskei Gáborné helyettes államtitkár asszony a Szakképzés 4.0 stratégiát, valamint az új szakképzési törvény elfogadásával életbe lépő változásokat ismertette. Csordás Péter Attila osztályvezető, az OFA Nonprofit Kft. részéről a szervezet által megvalósított munkaerőpiaci-reformprogram eredményeiről tartott előadást az egybegyűlteknek. A megye foglalkoztatási helyzetére vonatkozó adatokat, valamint a TOP-5.1.1-15 projekttel kapcsolatos megvalósítói tapasztalatokat Dr. Nagy Ervin Miklós, a Szabolcs-Szatmár-Bereg Megyei Kormányhivatal Foglalkoztatási Főosztályának vezetője ismertette. A munkavállalók megtartásának lehetőségeiről Fata László coach, cafetéria-szakértő beszélt, majd a program zárásaként a megyei paktumszervezet egyik tagja, és egy, a projekt által támogatott munkáltató osztotta meg tapasztalatait a foglalkoztathatóság, a munkatársak képzése és megtartása, valamint a munkaszervezetbe való integrálása témakörökben.</w:t>
      </w:r>
    </w:p>
    <w:p w:rsidR="00E77A91" w:rsidRDefault="00E77A91" w:rsidP="00E77A91">
      <w:pPr>
        <w:jc w:val="both"/>
        <w:rPr>
          <w:rFonts w:ascii="Georgia" w:hAnsi="Georgia"/>
          <w:i/>
          <w:color w:val="595959" w:themeColor="text1" w:themeTint="A6"/>
          <w:sz w:val="20"/>
          <w:szCs w:val="20"/>
        </w:rPr>
      </w:pPr>
    </w:p>
    <w:p w:rsidR="00E77A91" w:rsidRPr="00893A4F" w:rsidRDefault="00E77A91" w:rsidP="00E77A91">
      <w:pPr>
        <w:jc w:val="both"/>
        <w:rPr>
          <w:rFonts w:ascii="Georgia" w:hAnsi="Georgia"/>
          <w:i/>
          <w:color w:val="595959" w:themeColor="text1" w:themeTint="A6"/>
          <w:sz w:val="20"/>
          <w:szCs w:val="20"/>
        </w:rPr>
      </w:pPr>
      <w:r w:rsidRPr="00893A4F">
        <w:rPr>
          <w:rFonts w:ascii="Georgia" w:hAnsi="Georgia"/>
          <w:i/>
          <w:color w:val="595959" w:themeColor="text1" w:themeTint="A6"/>
          <w:sz w:val="20"/>
          <w:szCs w:val="20"/>
        </w:rPr>
        <w:t>Forrás: Megyei Paktumiroda</w:t>
      </w:r>
    </w:p>
    <w:p w:rsidR="00E77A91" w:rsidRPr="00DB590B" w:rsidRDefault="002E25E0" w:rsidP="00E77A91">
      <w:pPr>
        <w:pStyle w:val="NormlWeb"/>
        <w:shd w:val="clear" w:color="auto" w:fill="FFFFFF" w:themeFill="background1"/>
        <w:spacing w:before="150" w:beforeAutospacing="0" w:after="150" w:afterAutospacing="0"/>
        <w:jc w:val="both"/>
        <w:rPr>
          <w:rFonts w:ascii="Arial" w:hAnsi="Arial" w:cs="Arial"/>
          <w:color w:val="666666"/>
          <w:shd w:val="clear" w:color="auto" w:fill="FFFFFF" w:themeFill="background1"/>
        </w:rPr>
      </w:pPr>
      <w:r w:rsidRPr="002E25E0">
        <w:rPr>
          <w:rFonts w:ascii="Georgia" w:hAnsi="Georgia"/>
          <w:color w:val="7F7F7F" w:themeColor="text1" w:themeTint="80"/>
        </w:rPr>
        <w:pict>
          <v:rect id="_x0000_i1031" style="width:0;height:1.5pt" o:hralign="center" o:hrstd="t" o:hr="t" fillcolor="#a0a0a0" stroked="f"/>
        </w:pict>
      </w:r>
    </w:p>
    <w:p w:rsidR="005E0A8A" w:rsidRPr="00DB590B" w:rsidRDefault="005E0A8A" w:rsidP="0043557A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DB590B">
        <w:rPr>
          <w:rFonts w:ascii="Georgia" w:hAnsi="Georgia"/>
          <w:b/>
          <w:color w:val="595959" w:themeColor="text1" w:themeTint="A6"/>
          <w:sz w:val="24"/>
          <w:szCs w:val="24"/>
        </w:rPr>
        <w:t>Irányító Csoport ülések</w:t>
      </w:r>
    </w:p>
    <w:p w:rsidR="00AC0F2A" w:rsidRPr="00576085" w:rsidRDefault="00AC0F2A" w:rsidP="0043557A">
      <w:pPr>
        <w:jc w:val="both"/>
        <w:rPr>
          <w:rFonts w:ascii="Georgia" w:hAnsi="Georgia"/>
          <w:color w:val="595959" w:themeColor="text1" w:themeTint="A6"/>
          <w:sz w:val="24"/>
          <w:szCs w:val="24"/>
        </w:rPr>
      </w:pPr>
      <w:r w:rsidRPr="00576085">
        <w:rPr>
          <w:rFonts w:ascii="Georgia" w:hAnsi="Georgia"/>
          <w:color w:val="595959" w:themeColor="text1" w:themeTint="A6"/>
          <w:sz w:val="24"/>
          <w:szCs w:val="24"/>
        </w:rPr>
        <w:t xml:space="preserve">A Paktumszervezet Irányító Csoportja 2019. október 28-án 19 munkáltató esetében 25 fő, 2019. november 13-án </w:t>
      </w:r>
      <w:r w:rsidR="00881489" w:rsidRPr="00576085">
        <w:rPr>
          <w:rFonts w:ascii="Georgia" w:hAnsi="Georgia"/>
          <w:color w:val="595959" w:themeColor="text1" w:themeTint="A6"/>
          <w:sz w:val="24"/>
          <w:szCs w:val="24"/>
        </w:rPr>
        <w:t>23 munkáltató esetében 27 fő</w:t>
      </w:r>
      <w:r w:rsidR="00B51033" w:rsidRPr="00576085">
        <w:rPr>
          <w:rFonts w:ascii="Georgia" w:hAnsi="Georgia"/>
          <w:color w:val="595959" w:themeColor="text1" w:themeTint="A6"/>
          <w:sz w:val="24"/>
          <w:szCs w:val="24"/>
        </w:rPr>
        <w:t>, 2019. november 29-én 21 munkáltató esetében 30 fő</w:t>
      </w:r>
      <w:r w:rsidR="000E6493" w:rsidRPr="00576085">
        <w:rPr>
          <w:rFonts w:ascii="Georgia" w:hAnsi="Georgia"/>
          <w:color w:val="595959" w:themeColor="text1" w:themeTint="A6"/>
          <w:sz w:val="24"/>
          <w:szCs w:val="24"/>
        </w:rPr>
        <w:t xml:space="preserve">, </w:t>
      </w:r>
      <w:r w:rsidR="009253EF" w:rsidRPr="00576085">
        <w:rPr>
          <w:rFonts w:ascii="Georgia" w:hAnsi="Georgia"/>
          <w:color w:val="595959" w:themeColor="text1" w:themeTint="A6"/>
          <w:sz w:val="24"/>
          <w:szCs w:val="24"/>
        </w:rPr>
        <w:t xml:space="preserve">2019.12.10-én 11 munkáltató esetében, 15 fő, </w:t>
      </w:r>
      <w:r w:rsidR="000E6493" w:rsidRPr="00576085">
        <w:rPr>
          <w:rFonts w:ascii="Georgia" w:hAnsi="Georgia"/>
          <w:color w:val="595959" w:themeColor="text1" w:themeTint="A6"/>
          <w:sz w:val="24"/>
          <w:szCs w:val="24"/>
        </w:rPr>
        <w:t xml:space="preserve">2019.12.16-án 19 munkáltató esetében 23 fő </w:t>
      </w:r>
      <w:r w:rsidR="00881489" w:rsidRPr="00576085">
        <w:rPr>
          <w:rFonts w:ascii="Georgia" w:hAnsi="Georgia"/>
          <w:color w:val="595959" w:themeColor="text1" w:themeTint="A6"/>
          <w:sz w:val="24"/>
          <w:szCs w:val="24"/>
        </w:rPr>
        <w:t xml:space="preserve">álláskereső foglalkoztatásának támogatásáról döntött. </w:t>
      </w:r>
    </w:p>
    <w:p w:rsidR="00720B3C" w:rsidRPr="00DB590B" w:rsidRDefault="00720B3C" w:rsidP="0043557A">
      <w:pPr>
        <w:jc w:val="both"/>
        <w:rPr>
          <w:rFonts w:ascii="Georgia" w:hAnsi="Georgia"/>
          <w:b/>
          <w:color w:val="595959" w:themeColor="text1" w:themeTint="A6"/>
          <w:sz w:val="24"/>
          <w:szCs w:val="24"/>
        </w:rPr>
      </w:pPr>
      <w:r w:rsidRPr="00DB590B">
        <w:rPr>
          <w:rFonts w:ascii="Georgia" w:hAnsi="Georgia"/>
          <w:b/>
          <w:color w:val="595959" w:themeColor="text1" w:themeTint="A6"/>
          <w:sz w:val="24"/>
          <w:szCs w:val="24"/>
        </w:rPr>
        <w:t xml:space="preserve">Összesen: </w:t>
      </w:r>
      <w:r w:rsidR="00575974">
        <w:rPr>
          <w:rFonts w:ascii="Georgia" w:hAnsi="Georgia"/>
          <w:b/>
          <w:color w:val="595959" w:themeColor="text1" w:themeTint="A6"/>
          <w:sz w:val="24"/>
          <w:szCs w:val="24"/>
        </w:rPr>
        <w:t>93</w:t>
      </w:r>
      <w:r w:rsidR="009253EF">
        <w:rPr>
          <w:rFonts w:ascii="Georgia" w:hAnsi="Georgia"/>
          <w:b/>
          <w:color w:val="595959" w:themeColor="text1" w:themeTint="A6"/>
          <w:sz w:val="24"/>
          <w:szCs w:val="24"/>
        </w:rPr>
        <w:t xml:space="preserve"> munkáltató, 1</w:t>
      </w:r>
      <w:r w:rsidR="00575974">
        <w:rPr>
          <w:rFonts w:ascii="Georgia" w:hAnsi="Georgia"/>
          <w:b/>
          <w:color w:val="595959" w:themeColor="text1" w:themeTint="A6"/>
          <w:sz w:val="24"/>
          <w:szCs w:val="24"/>
        </w:rPr>
        <w:t>20</w:t>
      </w:r>
      <w:r w:rsidR="00B51033" w:rsidRPr="00DB590B">
        <w:rPr>
          <w:rFonts w:ascii="Georgia" w:hAnsi="Georgia"/>
          <w:b/>
          <w:color w:val="595959" w:themeColor="text1" w:themeTint="A6"/>
          <w:sz w:val="24"/>
          <w:szCs w:val="24"/>
        </w:rPr>
        <w:t xml:space="preserve"> munkavállaló</w:t>
      </w:r>
    </w:p>
    <w:p w:rsidR="00B51033" w:rsidRPr="0043557A" w:rsidRDefault="00FC03CF" w:rsidP="0043557A">
      <w:pPr>
        <w:jc w:val="both"/>
        <w:rPr>
          <w:rFonts w:ascii="Georgia" w:hAnsi="Georgia"/>
          <w:sz w:val="28"/>
          <w:szCs w:val="28"/>
        </w:rPr>
      </w:pPr>
      <w:r w:rsidRPr="00893A4F">
        <w:rPr>
          <w:rFonts w:ascii="Georgia" w:hAnsi="Georgia"/>
          <w:i/>
          <w:color w:val="595959" w:themeColor="text1" w:themeTint="A6"/>
          <w:sz w:val="20"/>
          <w:szCs w:val="20"/>
        </w:rPr>
        <w:t>Forrás: Megyei Paktumiroda</w:t>
      </w:r>
    </w:p>
    <w:sectPr w:rsidR="00B51033" w:rsidRPr="0043557A" w:rsidSect="00287A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2E" w:rsidRDefault="005D1E2E" w:rsidP="001446D0">
      <w:pPr>
        <w:spacing w:after="0" w:line="240" w:lineRule="auto"/>
      </w:pPr>
      <w:r>
        <w:separator/>
      </w:r>
    </w:p>
  </w:endnote>
  <w:endnote w:type="continuationSeparator" w:id="0">
    <w:p w:rsidR="005D1E2E" w:rsidRDefault="005D1E2E" w:rsidP="0014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500063"/>
      <w:docPartObj>
        <w:docPartGallery w:val="Page Numbers (Bottom of Page)"/>
        <w:docPartUnique/>
      </w:docPartObj>
    </w:sdtPr>
    <w:sdtContent>
      <w:p w:rsidR="001446D0" w:rsidRDefault="002E25E0">
        <w:pPr>
          <w:pStyle w:val="llb"/>
          <w:jc w:val="center"/>
        </w:pPr>
        <w:fldSimple w:instr=" PAGE   \* MERGEFORMAT ">
          <w:r w:rsidR="00CB735E">
            <w:rPr>
              <w:noProof/>
            </w:rPr>
            <w:t>6</w:t>
          </w:r>
        </w:fldSimple>
      </w:p>
    </w:sdtContent>
  </w:sdt>
  <w:p w:rsidR="001446D0" w:rsidRDefault="001446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2E" w:rsidRDefault="005D1E2E" w:rsidP="001446D0">
      <w:pPr>
        <w:spacing w:after="0" w:line="240" w:lineRule="auto"/>
      </w:pPr>
      <w:r>
        <w:separator/>
      </w:r>
    </w:p>
  </w:footnote>
  <w:footnote w:type="continuationSeparator" w:id="0">
    <w:p w:rsidR="005D1E2E" w:rsidRDefault="005D1E2E" w:rsidP="0014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B06"/>
    <w:multiLevelType w:val="multilevel"/>
    <w:tmpl w:val="EE3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9E4"/>
    <w:multiLevelType w:val="multilevel"/>
    <w:tmpl w:val="E81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61"/>
    <w:rsid w:val="000670E7"/>
    <w:rsid w:val="000E6493"/>
    <w:rsid w:val="000F069A"/>
    <w:rsid w:val="0012339A"/>
    <w:rsid w:val="001446D0"/>
    <w:rsid w:val="00195341"/>
    <w:rsid w:val="001C3009"/>
    <w:rsid w:val="00203021"/>
    <w:rsid w:val="00213A0A"/>
    <w:rsid w:val="00287A02"/>
    <w:rsid w:val="002C0C81"/>
    <w:rsid w:val="002E25E0"/>
    <w:rsid w:val="003239CF"/>
    <w:rsid w:val="00353AFC"/>
    <w:rsid w:val="00355BED"/>
    <w:rsid w:val="003B01EB"/>
    <w:rsid w:val="003E6B29"/>
    <w:rsid w:val="003F292D"/>
    <w:rsid w:val="00412A28"/>
    <w:rsid w:val="0043557A"/>
    <w:rsid w:val="004F662A"/>
    <w:rsid w:val="00557D44"/>
    <w:rsid w:val="00575974"/>
    <w:rsid w:val="00576085"/>
    <w:rsid w:val="005A7320"/>
    <w:rsid w:val="005D1E2E"/>
    <w:rsid w:val="005D3318"/>
    <w:rsid w:val="005E0A8A"/>
    <w:rsid w:val="0060678F"/>
    <w:rsid w:val="00617555"/>
    <w:rsid w:val="006B54A5"/>
    <w:rsid w:val="006E4F51"/>
    <w:rsid w:val="00720B3C"/>
    <w:rsid w:val="00750090"/>
    <w:rsid w:val="0076584F"/>
    <w:rsid w:val="007A559D"/>
    <w:rsid w:val="007C2228"/>
    <w:rsid w:val="00813D5A"/>
    <w:rsid w:val="00881489"/>
    <w:rsid w:val="00893A4F"/>
    <w:rsid w:val="008C0DFC"/>
    <w:rsid w:val="008F2677"/>
    <w:rsid w:val="009253EF"/>
    <w:rsid w:val="009601FB"/>
    <w:rsid w:val="00993061"/>
    <w:rsid w:val="00A30277"/>
    <w:rsid w:val="00A35E13"/>
    <w:rsid w:val="00A477B9"/>
    <w:rsid w:val="00AC0F2A"/>
    <w:rsid w:val="00AC6155"/>
    <w:rsid w:val="00AD7314"/>
    <w:rsid w:val="00B22248"/>
    <w:rsid w:val="00B35A3E"/>
    <w:rsid w:val="00B51033"/>
    <w:rsid w:val="00BE38CC"/>
    <w:rsid w:val="00C74837"/>
    <w:rsid w:val="00CA20F1"/>
    <w:rsid w:val="00CA35C6"/>
    <w:rsid w:val="00CB735E"/>
    <w:rsid w:val="00D21673"/>
    <w:rsid w:val="00DA2EC2"/>
    <w:rsid w:val="00DB590B"/>
    <w:rsid w:val="00DD5F5D"/>
    <w:rsid w:val="00DE1222"/>
    <w:rsid w:val="00E13741"/>
    <w:rsid w:val="00E42E04"/>
    <w:rsid w:val="00E77A91"/>
    <w:rsid w:val="00E878C8"/>
    <w:rsid w:val="00E95607"/>
    <w:rsid w:val="00E9673E"/>
    <w:rsid w:val="00EA2E61"/>
    <w:rsid w:val="00EC3BA6"/>
    <w:rsid w:val="00EE4A97"/>
    <w:rsid w:val="00EF7F86"/>
    <w:rsid w:val="00F2668F"/>
    <w:rsid w:val="00F71C6B"/>
    <w:rsid w:val="00FB4B55"/>
    <w:rsid w:val="00FC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A02"/>
  </w:style>
  <w:style w:type="paragraph" w:styleId="Cmsor1">
    <w:name w:val="heading 1"/>
    <w:basedOn w:val="Norml"/>
    <w:link w:val="Cmsor1Char"/>
    <w:uiPriority w:val="9"/>
    <w:qFormat/>
    <w:rsid w:val="006B5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93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46D0"/>
  </w:style>
  <w:style w:type="paragraph" w:styleId="llb">
    <w:name w:val="footer"/>
    <w:basedOn w:val="Norml"/>
    <w:link w:val="llbChar"/>
    <w:uiPriority w:val="99"/>
    <w:unhideWhenUsed/>
    <w:rsid w:val="0014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6D0"/>
  </w:style>
  <w:style w:type="character" w:styleId="Hiperhivatkozs">
    <w:name w:val="Hyperlink"/>
    <w:basedOn w:val="Bekezdsalapbettpusa"/>
    <w:uiPriority w:val="99"/>
    <w:unhideWhenUsed/>
    <w:rsid w:val="001446D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B54A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43557A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23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F71C6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90B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93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l"/>
    <w:rsid w:val="0089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reator">
    <w:name w:val="creator"/>
    <w:basedOn w:val="Norml"/>
    <w:rsid w:val="0089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">
    <w:name w:val="date"/>
    <w:basedOn w:val="Norml"/>
    <w:rsid w:val="0089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 - header"/>
    <w:basedOn w:val="Norml"/>
    <w:qFormat/>
    <w:rsid w:val="00E77A9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412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014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24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552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493">
                  <w:marLeft w:val="0"/>
                  <w:marRight w:val="0"/>
                  <w:marTop w:val="225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36" w:space="12" w:color="F0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ihirek.eu/vallalkozasok/4266-mar-lehet-palyazni-az-uj-gyakornoki-program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abkam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lyazatihire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yazatihirek.eu/vallalkozasok/4276-megjelent-a-foglalkoztatasbovites-osztonzese-cimu-palyazati-felhiv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12963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IvettIzmos</dc:creator>
  <cp:lastModifiedBy>MagdiKicsakne</cp:lastModifiedBy>
  <cp:revision>2</cp:revision>
  <cp:lastPrinted>2019-12-18T14:47:00Z</cp:lastPrinted>
  <dcterms:created xsi:type="dcterms:W3CDTF">2019-12-19T14:09:00Z</dcterms:created>
  <dcterms:modified xsi:type="dcterms:W3CDTF">2019-12-19T14:09:00Z</dcterms:modified>
</cp:coreProperties>
</file>